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7A" w:rsidRPr="004049A0" w:rsidRDefault="0083657A" w:rsidP="007106D2">
      <w:pPr>
        <w:jc w:val="center"/>
        <w:rPr>
          <w:rFonts w:asciiTheme="minorHAnsi" w:hAnsiTheme="minorHAnsi"/>
          <w:b/>
          <w:sz w:val="24"/>
          <w:szCs w:val="24"/>
        </w:rPr>
      </w:pPr>
      <w:r w:rsidRPr="004049A0">
        <w:rPr>
          <w:rFonts w:asciiTheme="minorHAnsi" w:hAnsiTheme="minorHAnsi"/>
          <w:b/>
          <w:sz w:val="24"/>
          <w:szCs w:val="24"/>
        </w:rPr>
        <w:t>COMISSÃO DE FINANÇAS E ORÇAMENTO</w:t>
      </w:r>
    </w:p>
    <w:p w:rsidR="0083657A" w:rsidRPr="004049A0" w:rsidRDefault="0083657A" w:rsidP="007106D2">
      <w:pPr>
        <w:ind w:right="50"/>
        <w:jc w:val="both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                                                                     </w:t>
      </w:r>
    </w:p>
    <w:p w:rsidR="0083657A" w:rsidRPr="004049A0" w:rsidRDefault="007106D2" w:rsidP="007106D2">
      <w:pPr>
        <w:ind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PARECER N.º </w:t>
      </w:r>
      <w:r w:rsidR="001345B2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0B5536">
        <w:rPr>
          <w:rFonts w:asciiTheme="minorHAnsi" w:hAnsiTheme="minorHAnsi"/>
          <w:b/>
          <w:color w:val="FF0000"/>
          <w:sz w:val="24"/>
          <w:szCs w:val="24"/>
          <w:u w:val="single"/>
        </w:rPr>
        <w:t>4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/CFO/2023</w:t>
      </w:r>
    </w:p>
    <w:p w:rsidR="000B208E" w:rsidRPr="004049A0" w:rsidRDefault="000B208E" w:rsidP="000C062F">
      <w:pPr>
        <w:ind w:left="4253" w:right="50"/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</w:p>
    <w:p w:rsidR="000B208E" w:rsidRPr="004049A0" w:rsidRDefault="000B208E" w:rsidP="000C062F">
      <w:pPr>
        <w:ind w:left="4253" w:right="50"/>
        <w:jc w:val="both"/>
        <w:rPr>
          <w:rFonts w:asciiTheme="minorHAnsi" w:hAnsiTheme="minorHAnsi"/>
          <w:b/>
          <w:color w:val="FF0000"/>
          <w:sz w:val="24"/>
          <w:szCs w:val="24"/>
        </w:rPr>
      </w:pPr>
      <w:r w:rsidRPr="004049A0">
        <w:rPr>
          <w:rFonts w:asciiTheme="minorHAnsi" w:hAnsiTheme="minorHAnsi"/>
          <w:b/>
          <w:color w:val="FF0000"/>
          <w:sz w:val="24"/>
          <w:szCs w:val="24"/>
        </w:rPr>
        <w:t xml:space="preserve">Projeto de lei </w:t>
      </w:r>
      <w:r w:rsidR="006D0EE1" w:rsidRPr="004049A0">
        <w:rPr>
          <w:rFonts w:asciiTheme="minorHAnsi" w:hAnsiTheme="minorHAnsi"/>
          <w:b/>
          <w:color w:val="FF0000"/>
          <w:sz w:val="24"/>
          <w:szCs w:val="24"/>
        </w:rPr>
        <w:t>n</w:t>
      </w:r>
      <w:r w:rsidRPr="004049A0">
        <w:rPr>
          <w:rFonts w:asciiTheme="minorHAnsi" w:hAnsiTheme="minorHAnsi"/>
          <w:b/>
          <w:color w:val="FF0000"/>
          <w:sz w:val="24"/>
          <w:szCs w:val="24"/>
        </w:rPr>
        <w:t xml:space="preserve">º </w:t>
      </w:r>
      <w:r w:rsidR="00073110" w:rsidRPr="004049A0">
        <w:rPr>
          <w:rFonts w:asciiTheme="minorHAnsi" w:hAnsiTheme="minorHAnsi"/>
          <w:b/>
          <w:color w:val="FF0000"/>
          <w:sz w:val="24"/>
          <w:szCs w:val="24"/>
        </w:rPr>
        <w:t>2</w:t>
      </w:r>
      <w:r w:rsidR="000B5536">
        <w:rPr>
          <w:rFonts w:asciiTheme="minorHAnsi" w:hAnsiTheme="minorHAnsi"/>
          <w:b/>
          <w:color w:val="FF0000"/>
          <w:sz w:val="24"/>
          <w:szCs w:val="24"/>
        </w:rPr>
        <w:t>7</w:t>
      </w:r>
      <w:r w:rsidRPr="004049A0">
        <w:rPr>
          <w:rFonts w:asciiTheme="minorHAnsi" w:hAnsiTheme="minorHAnsi"/>
          <w:b/>
          <w:color w:val="FF0000"/>
          <w:sz w:val="24"/>
          <w:szCs w:val="24"/>
        </w:rPr>
        <w:t>/2023</w:t>
      </w:r>
    </w:p>
    <w:p w:rsidR="002F7F00" w:rsidRPr="004049A0" w:rsidRDefault="00A6335E" w:rsidP="000C062F">
      <w:pPr>
        <w:ind w:left="4253"/>
        <w:jc w:val="both"/>
        <w:rPr>
          <w:rFonts w:asciiTheme="minorHAnsi" w:hAnsiTheme="minorHAnsi"/>
          <w:b/>
          <w:sz w:val="24"/>
          <w:szCs w:val="24"/>
        </w:rPr>
      </w:pPr>
      <w:r w:rsidRPr="004049A0">
        <w:rPr>
          <w:rFonts w:asciiTheme="minorHAnsi" w:hAnsiTheme="minorHAnsi"/>
          <w:b/>
          <w:sz w:val="24"/>
          <w:szCs w:val="24"/>
        </w:rPr>
        <w:t xml:space="preserve">Autor: </w:t>
      </w:r>
      <w:r w:rsidR="00DE6B8A" w:rsidRPr="004049A0">
        <w:rPr>
          <w:rFonts w:asciiTheme="minorHAnsi" w:hAnsiTheme="minorHAnsi"/>
          <w:b/>
          <w:sz w:val="24"/>
          <w:szCs w:val="24"/>
        </w:rPr>
        <w:t>Poder Executivo Municipal</w:t>
      </w:r>
    </w:p>
    <w:p w:rsidR="00E16AF1" w:rsidRDefault="000B5536" w:rsidP="000B5536">
      <w:pPr>
        <w:ind w:left="4253"/>
        <w:jc w:val="both"/>
        <w:rPr>
          <w:rFonts w:asciiTheme="minorHAnsi" w:hAnsiTheme="minorHAnsi"/>
          <w:sz w:val="24"/>
          <w:szCs w:val="24"/>
        </w:rPr>
      </w:pPr>
      <w:r w:rsidRPr="000B5536">
        <w:rPr>
          <w:rFonts w:asciiTheme="minorHAnsi" w:hAnsiTheme="minorHAnsi"/>
          <w:sz w:val="24"/>
          <w:szCs w:val="24"/>
        </w:rPr>
        <w:t>Dispõe sobre a Lei de Diretrizes Orçamentárias - LDO, do município de Juína, estado de Mato Grosso, para a elaboração e execução da Lei Orçamentária Anual - LOA, referente ao exercício financeiro de 2024 e dá outras providências.</w:t>
      </w:r>
    </w:p>
    <w:p w:rsidR="000B5536" w:rsidRPr="0075580B" w:rsidRDefault="000B5536" w:rsidP="00C677B7">
      <w:pPr>
        <w:ind w:firstLine="1134"/>
        <w:jc w:val="both"/>
        <w:rPr>
          <w:rFonts w:asciiTheme="minorHAnsi" w:hAnsiTheme="minorHAnsi"/>
          <w:b/>
          <w:sz w:val="24"/>
          <w:szCs w:val="24"/>
        </w:rPr>
      </w:pPr>
    </w:p>
    <w:p w:rsidR="0075580B" w:rsidRDefault="0075580B" w:rsidP="0075580B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b/>
          <w:sz w:val="24"/>
          <w:szCs w:val="24"/>
          <w:lang w:eastAsia="en-US"/>
        </w:rPr>
        <w:t>Relatório</w:t>
      </w:r>
      <w:r w:rsidRPr="0075580B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I</w:t>
      </w:r>
    </w:p>
    <w:p w:rsidR="0075580B" w:rsidRPr="0075580B" w:rsidRDefault="0075580B" w:rsidP="0075580B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O Presidente da Comissão de Finanças e Orçamento Senhor </w:t>
      </w:r>
      <w:proofErr w:type="spellStart"/>
      <w:r w:rsidRPr="0075580B">
        <w:rPr>
          <w:rFonts w:asciiTheme="minorHAnsi" w:eastAsia="Calibri" w:hAnsiTheme="minorHAnsi"/>
          <w:sz w:val="24"/>
          <w:szCs w:val="24"/>
          <w:lang w:eastAsia="en-US"/>
        </w:rPr>
        <w:t>Gleiney</w:t>
      </w:r>
      <w:proofErr w:type="spellEnd"/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Ferreira </w:t>
      </w:r>
      <w:proofErr w:type="spellStart"/>
      <w:r w:rsidRPr="0075580B">
        <w:rPr>
          <w:rFonts w:asciiTheme="minorHAnsi" w:eastAsia="Calibri" w:hAnsiTheme="minorHAnsi"/>
          <w:sz w:val="24"/>
          <w:szCs w:val="24"/>
          <w:lang w:eastAsia="en-US"/>
        </w:rPr>
        <w:t>Griz</w:t>
      </w:r>
      <w:proofErr w:type="spellEnd"/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, designa eu, vereador Sandro Candido Silva, para Relatoria do Projeto de Lei nº. 27/2023 que tramita nesta Casa de Autoria do Poder Executivo Municipal. </w:t>
      </w:r>
    </w:p>
    <w:p w:rsidR="0075580B" w:rsidRPr="0075580B" w:rsidRDefault="0075580B" w:rsidP="0075580B">
      <w:pPr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75580B" w:rsidRPr="0075580B" w:rsidRDefault="0075580B" w:rsidP="0075580B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b/>
          <w:sz w:val="24"/>
          <w:szCs w:val="24"/>
          <w:lang w:eastAsia="en-US"/>
        </w:rPr>
        <w:t>Relatório</w:t>
      </w:r>
      <w:r w:rsidRPr="0075580B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II </w:t>
      </w:r>
    </w:p>
    <w:p w:rsidR="0075580B" w:rsidRPr="0075580B" w:rsidRDefault="0075580B" w:rsidP="0075580B">
      <w:pPr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O Poder Executivo Municipal encaminha a esta Casa o Projeto de Lei nº 27/2023 que “Dispõe sobre a Lei de” Diretrizes Orçamentaria – LDO, peça </w:t>
      </w:r>
      <w:proofErr w:type="spellStart"/>
      <w:r w:rsidRPr="0075580B">
        <w:rPr>
          <w:rFonts w:asciiTheme="minorHAnsi" w:eastAsia="Calibri" w:hAnsiTheme="minorHAnsi"/>
          <w:sz w:val="24"/>
          <w:szCs w:val="24"/>
          <w:lang w:eastAsia="en-US"/>
        </w:rPr>
        <w:t>orientativa</w:t>
      </w:r>
      <w:proofErr w:type="spellEnd"/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para elaboração da Lei Orçamentária Anual – LOA que trás as metas e prioridades da Administração Municipal para o exercício de 2024 dispondo sobre as alterações na legislação tributária em conformidade com as determinações da Lei Complementar nº101/2000 – Lei de Responsabilidade Fiscal, detalhado nos anexos ao projeto as especificações das Metas Fiscais e de Prioridades do Governo Municipal para o exercício financeiro de 2024.</w:t>
      </w:r>
    </w:p>
    <w:p w:rsidR="0075580B" w:rsidRPr="0075580B" w:rsidRDefault="0075580B" w:rsidP="0075580B">
      <w:pPr>
        <w:jc w:val="both"/>
        <w:rPr>
          <w:rFonts w:asciiTheme="minorHAnsi" w:eastAsia="Calibri" w:hAnsiTheme="minorHAnsi"/>
          <w:sz w:val="24"/>
          <w:szCs w:val="24"/>
          <w:lang w:eastAsia="en-US"/>
        </w:rPr>
      </w:pPr>
    </w:p>
    <w:p w:rsidR="0075580B" w:rsidRDefault="0075580B" w:rsidP="0075580B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b/>
          <w:sz w:val="24"/>
          <w:szCs w:val="24"/>
          <w:lang w:eastAsia="en-US"/>
        </w:rPr>
        <w:t>Relatório</w:t>
      </w:r>
      <w:r w:rsidRPr="0075580B">
        <w:rPr>
          <w:rFonts w:asciiTheme="minorHAnsi" w:eastAsia="Calibri" w:hAnsiTheme="minorHAnsi"/>
          <w:b/>
          <w:sz w:val="24"/>
          <w:szCs w:val="24"/>
          <w:lang w:eastAsia="en-US"/>
        </w:rPr>
        <w:t xml:space="preserve"> III</w:t>
      </w:r>
    </w:p>
    <w:p w:rsidR="0075580B" w:rsidRPr="0075580B" w:rsidRDefault="0075580B" w:rsidP="0075580B">
      <w:pPr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A </w:t>
      </w:r>
      <w:r w:rsidRPr="0075580B">
        <w:rPr>
          <w:rFonts w:asciiTheme="minorHAnsi" w:eastAsia="Calibri" w:hAnsiTheme="minorHAnsi"/>
          <w:bCs/>
          <w:color w:val="000000"/>
          <w:sz w:val="24"/>
          <w:szCs w:val="24"/>
          <w:shd w:val="clear" w:color="auto" w:fill="FFFFFF"/>
          <w:lang w:eastAsia="en-US"/>
        </w:rPr>
        <w:t>Lei de Diretrizes Orçamentárias</w:t>
      </w:r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(</w:t>
      </w:r>
      <w:r w:rsidRPr="0075580B">
        <w:rPr>
          <w:rFonts w:asciiTheme="minorHAnsi" w:eastAsia="Calibri" w:hAnsiTheme="minorHAnsi"/>
          <w:bCs/>
          <w:color w:val="000000"/>
          <w:sz w:val="24"/>
          <w:szCs w:val="24"/>
          <w:shd w:val="clear" w:color="auto" w:fill="FFFFFF"/>
          <w:lang w:eastAsia="en-US"/>
        </w:rPr>
        <w:t>LDO</w:t>
      </w:r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) tem como a principal finalidade orientar a elaboração dos </w:t>
      </w:r>
      <w:hyperlink r:id="rId8" w:tooltip="Orçamento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orçamentos</w:t>
        </w:r>
      </w:hyperlink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fiscais e da </w:t>
      </w:r>
      <w:hyperlink r:id="rId9" w:tooltip="Seguridade social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seguridade social</w:t>
        </w:r>
      </w:hyperlink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e de investimento do </w:t>
      </w:r>
      <w:hyperlink r:id="rId10" w:tooltip="Poder Público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Poder Público</w:t>
        </w:r>
      </w:hyperlink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, incluindo os poderes: </w:t>
      </w:r>
      <w:hyperlink r:id="rId11" w:tooltip="Executivo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Executivo</w:t>
        </w:r>
      </w:hyperlink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, </w:t>
      </w:r>
      <w:hyperlink r:id="rId12" w:tooltip="Legislativo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Legislativo</w:t>
        </w:r>
      </w:hyperlink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e </w:t>
      </w:r>
      <w:hyperlink r:id="rId13" w:tooltip="Judiciário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Judiciário</w:t>
        </w:r>
      </w:hyperlink>
      <w:proofErr w:type="gramStart"/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,</w:t>
      </w:r>
      <w:proofErr w:type="gramEnd"/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e também das </w:t>
      </w:r>
      <w:hyperlink r:id="rId14" w:tooltip="Empresa pública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empresas públicas</w:t>
        </w:r>
      </w:hyperlink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 e </w:t>
      </w:r>
      <w:hyperlink r:id="rId15" w:tooltip="Autarquia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autarquias</w:t>
        </w:r>
      </w:hyperlink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. Busca sintonizar à </w:t>
      </w:r>
      <w:hyperlink r:id="rId16" w:tooltip="Lei Orçamentária Anual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Lei Orçamentária Anual</w:t>
        </w:r>
      </w:hyperlink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 em harmonia com as diretrizes dos programas e ações por função e </w:t>
      </w:r>
      <w:proofErr w:type="spellStart"/>
      <w:proofErr w:type="gramStart"/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sub-função</w:t>
      </w:r>
      <w:proofErr w:type="spellEnd"/>
      <w:proofErr w:type="gramEnd"/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 xml:space="preserve"> da </w:t>
      </w:r>
      <w:hyperlink r:id="rId17" w:tooltip="Administração pública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administração pública</w:t>
        </w:r>
      </w:hyperlink>
      <w:r w:rsidRPr="0075580B">
        <w:rPr>
          <w:rFonts w:asciiTheme="minorHAnsi" w:eastAsia="Calibri" w:hAnsiTheme="minorHAnsi"/>
          <w:color w:val="000000"/>
          <w:sz w:val="24"/>
          <w:szCs w:val="24"/>
          <w:shd w:val="clear" w:color="auto" w:fill="FFFFFF"/>
          <w:lang w:eastAsia="en-US"/>
        </w:rPr>
        <w:t>, estabelecidas no </w:t>
      </w:r>
      <w:hyperlink r:id="rId18" w:tooltip="Plano Plurianual" w:history="1">
        <w:r w:rsidRPr="0075580B">
          <w:rPr>
            <w:rFonts w:asciiTheme="minorHAnsi" w:eastAsia="Calibri" w:hAnsiTheme="minorHAnsi"/>
            <w:color w:val="000000"/>
            <w:sz w:val="24"/>
            <w:szCs w:val="24"/>
            <w:u w:val="single"/>
            <w:shd w:val="clear" w:color="auto" w:fill="FFFFFF"/>
            <w:lang w:eastAsia="en-US"/>
          </w:rPr>
          <w:t>Plano Plurianual</w:t>
        </w:r>
      </w:hyperlink>
      <w:r w:rsidRPr="0075580B">
        <w:rPr>
          <w:rFonts w:asciiTheme="minorHAnsi" w:eastAsia="Calibri" w:hAnsiTheme="minorHAnsi"/>
          <w:sz w:val="24"/>
          <w:szCs w:val="24"/>
          <w:lang w:eastAsia="en-US"/>
        </w:rPr>
        <w:t>.</w:t>
      </w:r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O projeto de lei em análise atende o dispositivo do § 2º do artigo 165 da Constituição Federal e no § 2º do artigo 105 da Lei Orgânica do Município de </w:t>
      </w:r>
      <w:proofErr w:type="spellStart"/>
      <w:proofErr w:type="gramStart"/>
      <w:r w:rsidRPr="0075580B">
        <w:rPr>
          <w:rFonts w:asciiTheme="minorHAnsi" w:eastAsia="Calibri" w:hAnsiTheme="minorHAnsi"/>
          <w:sz w:val="24"/>
          <w:szCs w:val="24"/>
          <w:lang w:eastAsia="en-US"/>
        </w:rPr>
        <w:t>Juina</w:t>
      </w:r>
      <w:proofErr w:type="spellEnd"/>
      <w:r w:rsidRPr="0075580B">
        <w:rPr>
          <w:rFonts w:asciiTheme="minorHAnsi" w:eastAsia="Calibri" w:hAnsiTheme="minorHAnsi"/>
          <w:sz w:val="24"/>
          <w:szCs w:val="24"/>
          <w:lang w:eastAsia="en-US"/>
        </w:rPr>
        <w:t>-MT</w:t>
      </w:r>
      <w:proofErr w:type="gramEnd"/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, foi encaminhado em 31/07/2023 dentro prazo Constitucional, compatibilizando seu estudo  com o Plano Plurianual relativo ao 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>período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de 2022 a 2025 e em consonância com os ditames da Lei 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lastRenderedPageBreak/>
        <w:t>Complementar Federal nº 101, de 4 de maio de 2000 (Lei de Responsabilidade Fiscal), artigo 4º, §§ 1º, 2º e 3º, desse diploma legal.</w:t>
      </w:r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>Conclusão e Voto</w:t>
      </w:r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>A Comissão de Finanças e Orçamento realizou reuniões com a equipe econômica do Poder Executivo no sentido de conhecer os detalhamentos dos Programas e Ações estabelecidos para cada Secretaria, Departamentos, Autarquia, Reserva de Contingência, Previ Juína, Divida Publica e do Poder Legislativo para o Exercício Financeiro de 2024.</w:t>
      </w:r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Nas oportunidades debatemos sobre as Metas Fiscais estabelecidas na LDO para o Exercício de 2024 em que apresenta previsão de despesas no valor de R$272.191.910,70 no atendimento das Metas e Prioridade do Poder Executivo e buscamos subsídios informativos fazendo comparativos com a Lei de Diretrizes do Orçamento de 2023 consultando demonstrativos relacionados nos anexos I, Anexo 1- que trata das metas e prioridades; 2- avaliação do cumprimento das metas fiscais do exercício anterior; 3-estimativa e compensação da renuncia de receita; 4-evolução do patrimônio </w:t>
      </w:r>
      <w:proofErr w:type="gramStart"/>
      <w:r w:rsidRPr="0075580B">
        <w:rPr>
          <w:rFonts w:asciiTheme="minorHAnsi" w:eastAsia="Calibri" w:hAnsiTheme="minorHAnsi"/>
          <w:sz w:val="24"/>
          <w:szCs w:val="24"/>
          <w:lang w:eastAsia="en-US"/>
        </w:rPr>
        <w:t>liquido,</w:t>
      </w:r>
      <w:proofErr w:type="gramEnd"/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5- margem de expansão das despesas obrigatórias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>de caráter continuado; 6-das metas fiscais atuais comparadas com as fixadas nos três exercícios anteriores; 7-origem de aplicação dos recursos obtidos com a alienação de ativos; 8-Projeção atuarial do Regime Próprio de Previdência Social; 9-receitas e despesas previdenciária do RPPS e 10-metas anuais.</w:t>
      </w:r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O Anexo II nos demonstrativos de 1 a 5- trata da Metodologia e memoria de cálculo das metas anuais, do montante da divida publica, despesas, receitas, resultado nominal e primário; </w:t>
      </w:r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>O Anexo III apresenta riscos fiscais contendo demonstrativo de riscos fiscais e providencias e;</w:t>
      </w:r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E por ultimo o Anexo IV trata das obras em andamento para o 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>Exercício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Financeiro de 2024 – demonstrativo da priorização de recursos para as obras em andamento e custos programados para conservação do patrimônio.</w:t>
      </w:r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75580B">
        <w:rPr>
          <w:rFonts w:asciiTheme="minorHAnsi" w:eastAsia="Calibri" w:hAnsiTheme="minorHAnsi"/>
          <w:sz w:val="24"/>
          <w:szCs w:val="24"/>
          <w:lang w:eastAsia="en-US"/>
        </w:rPr>
        <w:t>Mediante as analises e após solicitar correções de inconsistência documental apontadas ao projeto e após serem corrigidos pelo Poder Executivo, cumpre registrar que o Projeto Lei de Diretrizes Orçamentaria em curso atende os princípios da Municipalidade esta em conformidade com a legislação em vigor podendo o Executivo Municipal elaborar o Projeto de Lei Orçamentária Anual para exercício fiscal de 2024 condicionando sua estrutura seguindo as orientações das diretrizes de metas fiscais e metas e prioridades estabelecidas na LDO apresentada que por sua vez decorrem suas ações fixadas no Plano Plurianual que versa sobre as Politicas Publicas priorizadas em médio prazo e que contempla tanto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>a Administração Publica Municipal Direta e Indireta</w:t>
      </w:r>
      <w:proofErr w:type="gramStart"/>
      <w:r w:rsidRPr="0075580B">
        <w:rPr>
          <w:rFonts w:asciiTheme="minorHAnsi" w:eastAsia="Calibri" w:hAnsiTheme="minorHAnsi"/>
          <w:sz w:val="24"/>
          <w:szCs w:val="24"/>
          <w:lang w:eastAsia="en-US"/>
        </w:rPr>
        <w:t>..</w:t>
      </w:r>
      <w:proofErr w:type="gramEnd"/>
    </w:p>
    <w:p w:rsidR="0075580B" w:rsidRPr="0075580B" w:rsidRDefault="0075580B" w:rsidP="0075580B">
      <w:pPr>
        <w:ind w:firstLine="1418"/>
        <w:jc w:val="both"/>
        <w:rPr>
          <w:rFonts w:asciiTheme="minorHAnsi" w:eastAsia="Calibri" w:hAnsiTheme="minorHAnsi"/>
          <w:sz w:val="24"/>
          <w:szCs w:val="24"/>
          <w:lang w:eastAsia="en-US"/>
        </w:rPr>
      </w:pPr>
      <w:proofErr w:type="gramStart"/>
      <w:r w:rsidRPr="0075580B">
        <w:rPr>
          <w:rFonts w:asciiTheme="minorHAnsi" w:eastAsia="Calibri" w:hAnsiTheme="minorHAnsi"/>
          <w:sz w:val="24"/>
          <w:szCs w:val="24"/>
          <w:lang w:eastAsia="en-US"/>
        </w:rPr>
        <w:t>Isto posto</w:t>
      </w:r>
      <w:proofErr w:type="gramEnd"/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, a matéria atende os 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>princípios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constitucional, 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>jurídicos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e normas Legislativas, no mérito, </w:t>
      </w:r>
      <w:r w:rsidRPr="0075580B">
        <w:rPr>
          <w:rFonts w:asciiTheme="minorHAnsi" w:eastAsia="Calibri" w:hAnsiTheme="minorHAnsi"/>
          <w:b/>
          <w:sz w:val="24"/>
          <w:szCs w:val="24"/>
          <w:u w:val="single"/>
          <w:lang w:eastAsia="en-US"/>
        </w:rPr>
        <w:t>voto favorável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 xml:space="preserve"> </w:t>
      </w:r>
      <w:r w:rsidRPr="0075580B">
        <w:rPr>
          <w:rFonts w:asciiTheme="minorHAnsi" w:eastAsia="Calibri" w:hAnsiTheme="minorHAnsi"/>
          <w:sz w:val="24"/>
          <w:szCs w:val="24"/>
          <w:lang w:eastAsia="en-US"/>
        </w:rPr>
        <w:t>à sua tramitação e apreciação em Plenário.</w:t>
      </w:r>
    </w:p>
    <w:p w:rsidR="00095B5D" w:rsidRPr="004049A0" w:rsidRDefault="00095B5D" w:rsidP="00C677B7">
      <w:pPr>
        <w:ind w:firstLine="1134"/>
        <w:jc w:val="both"/>
        <w:rPr>
          <w:rFonts w:asciiTheme="minorHAnsi" w:hAnsiTheme="minorHAnsi"/>
          <w:sz w:val="24"/>
          <w:szCs w:val="24"/>
        </w:rPr>
      </w:pPr>
    </w:p>
    <w:p w:rsidR="000C062F" w:rsidRPr="004049A0" w:rsidRDefault="000C062F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7106D2" w:rsidRPr="004049A0" w:rsidRDefault="007106D2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SANDRO CANDIDO SILVA</w:t>
      </w:r>
    </w:p>
    <w:p w:rsidR="007106D2" w:rsidRPr="004049A0" w:rsidRDefault="007106D2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Relator</w:t>
      </w:r>
    </w:p>
    <w:p w:rsidR="007106D2" w:rsidRPr="004049A0" w:rsidRDefault="007106D2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0C4A12" w:rsidRPr="004049A0" w:rsidRDefault="0083657A" w:rsidP="007106D2">
      <w:pPr>
        <w:pStyle w:val="SemEspaamento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                                     </w:t>
      </w:r>
      <w:bookmarkStart w:id="0" w:name="_GoBack"/>
      <w:bookmarkEnd w:id="0"/>
    </w:p>
    <w:p w:rsidR="000C4A12" w:rsidRPr="004049A0" w:rsidRDefault="000C4A12" w:rsidP="007106D2">
      <w:pPr>
        <w:pStyle w:val="SemEspaamento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0C062F">
      <w:pPr>
        <w:pStyle w:val="SemEspaamento"/>
        <w:rPr>
          <w:rFonts w:asciiTheme="minorHAnsi" w:hAnsiTheme="minorHAnsi"/>
          <w:sz w:val="24"/>
          <w:szCs w:val="24"/>
        </w:rPr>
      </w:pPr>
    </w:p>
    <w:p w:rsidR="0083657A" w:rsidRPr="004049A0" w:rsidRDefault="005824BE" w:rsidP="007106D2">
      <w:pPr>
        <w:jc w:val="both"/>
        <w:rPr>
          <w:rFonts w:asciiTheme="minorHAnsi" w:hAnsiTheme="minorHAnsi"/>
          <w:b/>
          <w:color w:val="FF0000"/>
          <w:sz w:val="24"/>
          <w:szCs w:val="24"/>
          <w:u w:val="single"/>
        </w:rPr>
      </w:pPr>
      <w:r w:rsidRPr="004049A0">
        <w:rPr>
          <w:rFonts w:asciiTheme="minorHAnsi" w:hAnsiTheme="minorHAnsi"/>
          <w:b/>
          <w:sz w:val="24"/>
          <w:szCs w:val="24"/>
          <w:u w:val="single"/>
        </w:rPr>
        <w:t xml:space="preserve">PARECER nº </w:t>
      </w:r>
      <w:r w:rsidR="001345B2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3</w:t>
      </w:r>
      <w:r w:rsidR="000B5536">
        <w:rPr>
          <w:rFonts w:asciiTheme="minorHAnsi" w:hAnsiTheme="minorHAnsi"/>
          <w:b/>
          <w:color w:val="FF0000"/>
          <w:sz w:val="24"/>
          <w:szCs w:val="24"/>
          <w:u w:val="single"/>
        </w:rPr>
        <w:t>4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/</w:t>
      </w:r>
      <w:r w:rsidR="0083657A" w:rsidRPr="004049A0">
        <w:rPr>
          <w:rFonts w:asciiTheme="minorHAnsi" w:hAnsiTheme="minorHAnsi"/>
          <w:b/>
          <w:sz w:val="24"/>
          <w:szCs w:val="24"/>
          <w:u w:val="single"/>
        </w:rPr>
        <w:t>CFO/2023 ao Projeto de Lei</w:t>
      </w:r>
      <w:r w:rsidR="0093059A" w:rsidRPr="004049A0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nº</w:t>
      </w:r>
      <w:r w:rsidR="00095B5D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 xml:space="preserve"> </w:t>
      </w:r>
      <w:r w:rsidR="0012336F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2</w:t>
      </w:r>
      <w:r w:rsidR="000B5536">
        <w:rPr>
          <w:rFonts w:asciiTheme="minorHAnsi" w:hAnsiTheme="minorHAnsi"/>
          <w:b/>
          <w:color w:val="FF0000"/>
          <w:sz w:val="24"/>
          <w:szCs w:val="24"/>
          <w:u w:val="single"/>
        </w:rPr>
        <w:t>7</w:t>
      </w:r>
      <w:r w:rsidR="0083657A" w:rsidRPr="004049A0">
        <w:rPr>
          <w:rFonts w:asciiTheme="minorHAnsi" w:hAnsiTheme="minorHAnsi"/>
          <w:b/>
          <w:color w:val="FF0000"/>
          <w:sz w:val="24"/>
          <w:szCs w:val="24"/>
          <w:u w:val="single"/>
        </w:rPr>
        <w:t>/2023</w:t>
      </w:r>
    </w:p>
    <w:p w:rsidR="0083657A" w:rsidRPr="004049A0" w:rsidRDefault="0083657A" w:rsidP="007106D2">
      <w:pPr>
        <w:jc w:val="both"/>
        <w:rPr>
          <w:rFonts w:asciiTheme="minorHAnsi" w:hAnsiTheme="minorHAnsi"/>
          <w:b/>
          <w:sz w:val="24"/>
          <w:szCs w:val="24"/>
        </w:rPr>
      </w:pPr>
    </w:p>
    <w:p w:rsidR="0083657A" w:rsidRPr="004049A0" w:rsidRDefault="0083657A" w:rsidP="005E3726">
      <w:pPr>
        <w:ind w:firstLine="1134"/>
        <w:jc w:val="both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A Comissão, em reunião, acompanha o voto favorável do relator do projeto, opinando unicamente pela constitucionalidade, e, no mérito, pela aprovação da tramitação do proposto, apresentando </w:t>
      </w:r>
      <w:r w:rsidRPr="004049A0">
        <w:rPr>
          <w:rFonts w:asciiTheme="minorHAnsi" w:hAnsiTheme="minorHAnsi"/>
          <w:b/>
          <w:sz w:val="24"/>
          <w:szCs w:val="24"/>
        </w:rPr>
        <w:t>PARECER FAVORAVEL</w:t>
      </w:r>
      <w:r w:rsidRPr="004049A0">
        <w:rPr>
          <w:rFonts w:asciiTheme="minorHAnsi" w:hAnsiTheme="minorHAnsi"/>
          <w:sz w:val="24"/>
          <w:szCs w:val="24"/>
        </w:rPr>
        <w:t>, ficando assim, melhor decisão do Douto Plenário da Casa.</w:t>
      </w:r>
    </w:p>
    <w:p w:rsidR="0083657A" w:rsidRPr="004049A0" w:rsidRDefault="0083657A" w:rsidP="005E3726">
      <w:pPr>
        <w:ind w:firstLine="1134"/>
        <w:jc w:val="both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Este é o parecer, salvo melhor juízo.</w:t>
      </w:r>
    </w:p>
    <w:p w:rsidR="0083657A" w:rsidRPr="004049A0" w:rsidRDefault="0083657A" w:rsidP="005E3726">
      <w:pPr>
        <w:ind w:firstLine="1134"/>
        <w:jc w:val="both"/>
        <w:rPr>
          <w:rFonts w:asciiTheme="minorHAnsi" w:hAnsiTheme="minorHAnsi"/>
          <w:color w:val="FF0000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Sala das Comissões, </w:t>
      </w:r>
      <w:r w:rsidR="0054489E">
        <w:rPr>
          <w:rFonts w:asciiTheme="minorHAnsi" w:hAnsiTheme="minorHAnsi"/>
          <w:color w:val="FF0000"/>
          <w:sz w:val="24"/>
          <w:szCs w:val="24"/>
        </w:rPr>
        <w:t>2</w:t>
      </w:r>
      <w:r w:rsidR="0075580B">
        <w:rPr>
          <w:rFonts w:asciiTheme="minorHAnsi" w:hAnsiTheme="minorHAnsi"/>
          <w:color w:val="FF0000"/>
          <w:sz w:val="24"/>
          <w:szCs w:val="24"/>
        </w:rPr>
        <w:t>2</w:t>
      </w:r>
      <w:r w:rsidR="000B5536">
        <w:rPr>
          <w:rFonts w:asciiTheme="minorHAnsi" w:hAnsiTheme="minorHAnsi"/>
          <w:color w:val="FF0000"/>
          <w:sz w:val="24"/>
          <w:szCs w:val="24"/>
        </w:rPr>
        <w:t xml:space="preserve"> de setembro</w:t>
      </w:r>
      <w:r w:rsidR="0093059A" w:rsidRPr="004049A0">
        <w:rPr>
          <w:rFonts w:asciiTheme="minorHAnsi" w:hAnsiTheme="minorHAnsi"/>
          <w:color w:val="FF0000"/>
          <w:sz w:val="24"/>
          <w:szCs w:val="24"/>
        </w:rPr>
        <w:t xml:space="preserve"> de 2023.</w:t>
      </w:r>
    </w:p>
    <w:p w:rsidR="007106D2" w:rsidRPr="004049A0" w:rsidRDefault="007106D2" w:rsidP="007106D2">
      <w:pPr>
        <w:ind w:firstLine="1418"/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83657A" w:rsidRPr="004049A0" w:rsidRDefault="0083657A" w:rsidP="007106D2">
      <w:pPr>
        <w:ind w:firstLine="1418"/>
        <w:jc w:val="both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 xml:space="preserve">GLEYNEI FERREIRA GRIZ </w:t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  <w:t>JURANDIR ALVES NASCIMENTO</w:t>
      </w:r>
    </w:p>
    <w:p w:rsidR="0083657A" w:rsidRPr="004049A0" w:rsidRDefault="0083657A" w:rsidP="007106D2">
      <w:pPr>
        <w:jc w:val="center"/>
        <w:rPr>
          <w:rFonts w:asciiTheme="minorHAnsi" w:hAnsiTheme="minorHAnsi"/>
          <w:sz w:val="24"/>
          <w:szCs w:val="24"/>
        </w:rPr>
      </w:pPr>
      <w:r w:rsidRPr="004049A0">
        <w:rPr>
          <w:rFonts w:asciiTheme="minorHAnsi" w:hAnsiTheme="minorHAnsi"/>
          <w:sz w:val="24"/>
          <w:szCs w:val="24"/>
        </w:rPr>
        <w:t>Presidente</w:t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</w:r>
      <w:r w:rsidRPr="004049A0">
        <w:rPr>
          <w:rFonts w:asciiTheme="minorHAnsi" w:hAnsiTheme="minorHAnsi"/>
          <w:sz w:val="24"/>
          <w:szCs w:val="24"/>
        </w:rPr>
        <w:tab/>
        <w:t xml:space="preserve">            </w:t>
      </w:r>
      <w:r w:rsidRPr="004049A0">
        <w:rPr>
          <w:rFonts w:asciiTheme="minorHAnsi" w:hAnsiTheme="minorHAnsi"/>
          <w:sz w:val="24"/>
          <w:szCs w:val="24"/>
        </w:rPr>
        <w:tab/>
        <w:t>membro</w:t>
      </w:r>
    </w:p>
    <w:p w:rsidR="0083657A" w:rsidRPr="004049A0" w:rsidRDefault="0083657A" w:rsidP="007106D2">
      <w:pPr>
        <w:ind w:left="4253"/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3479BE" w:rsidRPr="004049A0" w:rsidRDefault="003479BE" w:rsidP="007106D2">
      <w:pPr>
        <w:jc w:val="center"/>
        <w:rPr>
          <w:rFonts w:asciiTheme="minorHAnsi" w:hAnsiTheme="minorHAnsi"/>
          <w:sz w:val="24"/>
          <w:szCs w:val="24"/>
        </w:rPr>
      </w:pPr>
    </w:p>
    <w:p w:rsidR="007106D2" w:rsidRPr="004049A0" w:rsidRDefault="007106D2">
      <w:pPr>
        <w:jc w:val="center"/>
        <w:rPr>
          <w:rFonts w:asciiTheme="minorHAnsi" w:hAnsiTheme="minorHAnsi"/>
          <w:sz w:val="24"/>
          <w:szCs w:val="24"/>
        </w:rPr>
      </w:pPr>
    </w:p>
    <w:sectPr w:rsidR="007106D2" w:rsidRPr="004049A0" w:rsidSect="00AB40CD">
      <w:headerReference w:type="default" r:id="rId19"/>
      <w:footerReference w:type="even" r:id="rId20"/>
      <w:footerReference w:type="default" r:id="rId21"/>
      <w:pgSz w:w="11907" w:h="16839" w:code="9"/>
      <w:pgMar w:top="3686" w:right="850" w:bottom="993" w:left="1701" w:header="993" w:footer="2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27" w:rsidRDefault="00231527" w:rsidP="0083657A">
      <w:r>
        <w:separator/>
      </w:r>
    </w:p>
  </w:endnote>
  <w:endnote w:type="continuationSeparator" w:id="0">
    <w:p w:rsidR="00231527" w:rsidRDefault="00231527" w:rsidP="0083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23152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31527" w:rsidRDefault="0023152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231527">
    <w:pPr>
      <w:pStyle w:val="Rodap"/>
      <w:jc w:val="center"/>
    </w:pPr>
  </w:p>
  <w:p w:rsidR="00231527" w:rsidRPr="00C3268E" w:rsidRDefault="00231527" w:rsidP="003479BE">
    <w:pPr>
      <w:pStyle w:val="Rodap"/>
      <w:jc w:val="right"/>
      <w:rPr>
        <w:sz w:val="16"/>
      </w:rPr>
    </w:pPr>
    <w:r w:rsidRPr="00C3268E">
      <w:rPr>
        <w:sz w:val="16"/>
      </w:rPr>
      <w:t xml:space="preserve">Página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PAGE</w:instrText>
    </w:r>
    <w:r w:rsidRPr="00C3268E">
      <w:rPr>
        <w:b/>
        <w:bCs/>
        <w:szCs w:val="24"/>
      </w:rPr>
      <w:fldChar w:fldCharType="separate"/>
    </w:r>
    <w:r w:rsidR="0075580B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  <w:r w:rsidRPr="00C3268E">
      <w:rPr>
        <w:sz w:val="16"/>
      </w:rPr>
      <w:t xml:space="preserve"> de </w:t>
    </w:r>
    <w:r w:rsidRPr="00C3268E">
      <w:rPr>
        <w:b/>
        <w:bCs/>
        <w:szCs w:val="24"/>
      </w:rPr>
      <w:fldChar w:fldCharType="begin"/>
    </w:r>
    <w:r w:rsidRPr="00C3268E">
      <w:rPr>
        <w:b/>
        <w:bCs/>
        <w:sz w:val="16"/>
      </w:rPr>
      <w:instrText>NUMPAGES</w:instrText>
    </w:r>
    <w:r w:rsidRPr="00C3268E">
      <w:rPr>
        <w:b/>
        <w:bCs/>
        <w:szCs w:val="24"/>
      </w:rPr>
      <w:fldChar w:fldCharType="separate"/>
    </w:r>
    <w:r w:rsidR="0075580B">
      <w:rPr>
        <w:b/>
        <w:bCs/>
        <w:noProof/>
        <w:sz w:val="16"/>
      </w:rPr>
      <w:t>3</w:t>
    </w:r>
    <w:r w:rsidRPr="00C3268E">
      <w:rPr>
        <w:b/>
        <w:bCs/>
        <w:szCs w:val="24"/>
      </w:rPr>
      <w:fldChar w:fldCharType="end"/>
    </w:r>
  </w:p>
  <w:p w:rsidR="00231527" w:rsidRDefault="00231527" w:rsidP="003479BE">
    <w:pPr>
      <w:pStyle w:val="Rodap"/>
      <w:ind w:right="360"/>
      <w:jc w:val="center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27" w:rsidRDefault="00231527" w:rsidP="0083657A">
      <w:r>
        <w:separator/>
      </w:r>
    </w:p>
  </w:footnote>
  <w:footnote w:type="continuationSeparator" w:id="0">
    <w:p w:rsidR="00231527" w:rsidRDefault="00231527" w:rsidP="0083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527" w:rsidRDefault="0075580B" w:rsidP="003479BE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  <w:r>
      <w:rPr>
        <w:rFonts w:ascii="Arial" w:hAnsi="Arial"/>
        <w:noProof/>
        <w:color w:val="000000"/>
        <w:sz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4.2pt;margin-top:-8.55pt;width:70.2pt;height:65.6pt;z-index:251659264" o:allowincell="f">
          <v:stroke dashstyle="longDashDotDot"/>
          <v:imagedata r:id="rId1" o:title=""/>
          <w10:wrap type="topAndBottom"/>
        </v:shape>
        <o:OLEObject Type="Embed" ProgID="PBrush" ShapeID="_x0000_s1025" DrawAspect="Content" ObjectID="_1756889711" r:id="rId2"/>
      </w:pict>
    </w:r>
    <w:r w:rsidR="00231527">
      <w:rPr>
        <w:rFonts w:ascii="Arial" w:hAnsi="Arial"/>
        <w:snapToGrid w:val="0"/>
        <w:color w:val="000000"/>
        <w:sz w:val="40"/>
      </w:rPr>
      <w:t xml:space="preserve">              </w:t>
    </w: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Arial" w:hAnsi="Arial"/>
        <w:snapToGrid w:val="0"/>
        <w:color w:val="000000"/>
        <w:sz w:val="40"/>
      </w:rPr>
    </w:pP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Câmara Municipal de Juína</w:t>
    </w:r>
    <w:r>
      <w:rPr>
        <w:rFonts w:ascii="Calibri" w:hAnsi="Calibri"/>
        <w:snapToGrid w:val="0"/>
        <w:color w:val="000000"/>
        <w:sz w:val="24"/>
        <w:szCs w:val="24"/>
      </w:rPr>
      <w:t xml:space="preserve"> – MT</w:t>
    </w:r>
  </w:p>
  <w:p w:rsidR="00231527" w:rsidRPr="00725D5F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>
      <w:rPr>
        <w:rFonts w:ascii="Calibri" w:hAnsi="Calibri"/>
        <w:snapToGrid w:val="0"/>
        <w:color w:val="000000"/>
        <w:sz w:val="24"/>
        <w:szCs w:val="24"/>
      </w:rPr>
      <w:t>Comissão de Finanças e Orçamento</w:t>
    </w:r>
  </w:p>
  <w:p w:rsidR="00231527" w:rsidRPr="00725D5F" w:rsidRDefault="00231527" w:rsidP="003479BE">
    <w:pPr>
      <w:pStyle w:val="Cabealho"/>
      <w:tabs>
        <w:tab w:val="clear" w:pos="8838"/>
        <w:tab w:val="right" w:pos="9639"/>
      </w:tabs>
      <w:jc w:val="center"/>
      <w:rPr>
        <w:rFonts w:ascii="Calibri" w:hAnsi="Calibri"/>
        <w:snapToGrid w:val="0"/>
        <w:color w:val="000000"/>
        <w:sz w:val="24"/>
        <w:szCs w:val="24"/>
      </w:rPr>
    </w:pPr>
    <w:r w:rsidRPr="00725D5F">
      <w:rPr>
        <w:rFonts w:ascii="Calibri" w:hAnsi="Calibri"/>
        <w:snapToGrid w:val="0"/>
        <w:color w:val="000000"/>
        <w:sz w:val="24"/>
        <w:szCs w:val="24"/>
      </w:rPr>
      <w:t>Avenida dos Jambos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519N</w:t>
    </w:r>
    <w:r>
      <w:rPr>
        <w:rFonts w:ascii="Calibri" w:hAnsi="Calibri"/>
        <w:snapToGrid w:val="0"/>
        <w:color w:val="000000"/>
        <w:sz w:val="24"/>
        <w:szCs w:val="24"/>
      </w:rPr>
      <w:t>,</w:t>
    </w:r>
    <w:r w:rsidRPr="00725D5F">
      <w:rPr>
        <w:rFonts w:ascii="Calibri" w:hAnsi="Calibri"/>
        <w:snapToGrid w:val="0"/>
        <w:color w:val="000000"/>
        <w:sz w:val="24"/>
        <w:szCs w:val="24"/>
      </w:rPr>
      <w:t xml:space="preserve"> Centro, CEP 78320</w:t>
    </w:r>
    <w:r>
      <w:rPr>
        <w:rFonts w:ascii="Calibri" w:hAnsi="Calibri"/>
        <w:snapToGrid w:val="0"/>
        <w:color w:val="000000"/>
        <w:sz w:val="24"/>
        <w:szCs w:val="24"/>
      </w:rPr>
      <w:t>-</w:t>
    </w:r>
    <w:r w:rsidRPr="00725D5F">
      <w:rPr>
        <w:rFonts w:ascii="Calibri" w:hAnsi="Calibri"/>
        <w:snapToGrid w:val="0"/>
        <w:color w:val="000000"/>
        <w:sz w:val="24"/>
        <w:szCs w:val="24"/>
      </w:rPr>
      <w:t>000</w:t>
    </w:r>
    <w:r>
      <w:rPr>
        <w:rFonts w:ascii="Calibri" w:hAnsi="Calibri"/>
        <w:snapToGrid w:val="0"/>
        <w:color w:val="000000"/>
        <w:sz w:val="24"/>
        <w:szCs w:val="24"/>
      </w:rPr>
      <w:t xml:space="preserve"> Juína – MT.</w:t>
    </w:r>
  </w:p>
  <w:p w:rsidR="00231527" w:rsidRPr="0083657A" w:rsidRDefault="00231527" w:rsidP="003479B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color w:val="auto"/>
        <w:sz w:val="22"/>
        <w:szCs w:val="24"/>
        <w:u w:val="none"/>
      </w:rPr>
    </w:pPr>
    <w:r w:rsidRPr="00E64D93">
      <w:rPr>
        <w:rFonts w:ascii="Calibri" w:hAnsi="Calibri"/>
        <w:snapToGrid w:val="0"/>
        <w:color w:val="000000"/>
        <w:sz w:val="22"/>
        <w:szCs w:val="24"/>
      </w:rPr>
      <w:t xml:space="preserve">Telefone: (66) 3566-8900 - </w:t>
    </w:r>
    <w:hyperlink r:id="rId3" w:history="1">
      <w:r w:rsidRPr="0083657A">
        <w:rPr>
          <w:rStyle w:val="Hyperlink"/>
          <w:rFonts w:ascii="Calibri" w:hAnsi="Calibri"/>
          <w:snapToGrid w:val="0"/>
          <w:color w:val="auto"/>
          <w:sz w:val="22"/>
          <w:szCs w:val="24"/>
          <w:u w:val="none"/>
        </w:rPr>
        <w:t>http://www.juina.mt.leg.br</w:t>
      </w:r>
    </w:hyperlink>
    <w:r w:rsidRPr="0083657A">
      <w:rPr>
        <w:rStyle w:val="Hyperlink"/>
        <w:rFonts w:ascii="Calibri" w:hAnsi="Calibri"/>
        <w:snapToGrid w:val="0"/>
        <w:color w:val="auto"/>
        <w:sz w:val="22"/>
        <w:szCs w:val="24"/>
        <w:u w:val="none"/>
      </w:rPr>
      <w:t xml:space="preserve"> – assessorialegislativa@juina.mt.leg.br</w:t>
    </w:r>
  </w:p>
  <w:p w:rsidR="00231527" w:rsidRDefault="00231527" w:rsidP="003479BE">
    <w:pPr>
      <w:pStyle w:val="Cabealho"/>
      <w:tabs>
        <w:tab w:val="clear" w:pos="8838"/>
        <w:tab w:val="right" w:pos="9639"/>
      </w:tabs>
      <w:jc w:val="center"/>
      <w:rPr>
        <w:rStyle w:val="Hyperlink"/>
        <w:rFonts w:ascii="Calibri" w:hAnsi="Calibri"/>
        <w:snapToGrid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B11"/>
    <w:multiLevelType w:val="hybridMultilevel"/>
    <w:tmpl w:val="D0FE4F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A1930">
      <w:numFmt w:val="bullet"/>
      <w:lvlText w:val="•"/>
      <w:lvlJc w:val="left"/>
      <w:pPr>
        <w:ind w:left="1785" w:hanging="705"/>
      </w:pPr>
      <w:rPr>
        <w:rFonts w:ascii="Calibri" w:eastAsia="Batang" w:hAnsi="Calibri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57A"/>
    <w:rsid w:val="000254CB"/>
    <w:rsid w:val="000610BD"/>
    <w:rsid w:val="00073110"/>
    <w:rsid w:val="00095B5D"/>
    <w:rsid w:val="000B208E"/>
    <w:rsid w:val="000B5536"/>
    <w:rsid w:val="000C062F"/>
    <w:rsid w:val="000C4A12"/>
    <w:rsid w:val="000D58E9"/>
    <w:rsid w:val="000F6952"/>
    <w:rsid w:val="00115920"/>
    <w:rsid w:val="0012336F"/>
    <w:rsid w:val="001345B2"/>
    <w:rsid w:val="001362A3"/>
    <w:rsid w:val="00152E5E"/>
    <w:rsid w:val="0018043B"/>
    <w:rsid w:val="002072FB"/>
    <w:rsid w:val="00231527"/>
    <w:rsid w:val="00261290"/>
    <w:rsid w:val="00294020"/>
    <w:rsid w:val="002F27BC"/>
    <w:rsid w:val="002F5F49"/>
    <w:rsid w:val="002F7F00"/>
    <w:rsid w:val="003479BE"/>
    <w:rsid w:val="003816F4"/>
    <w:rsid w:val="003B75D4"/>
    <w:rsid w:val="004049A0"/>
    <w:rsid w:val="0048761B"/>
    <w:rsid w:val="004C0A6F"/>
    <w:rsid w:val="004F4F5A"/>
    <w:rsid w:val="0054489E"/>
    <w:rsid w:val="005824BE"/>
    <w:rsid w:val="00584B26"/>
    <w:rsid w:val="005C6245"/>
    <w:rsid w:val="005E3726"/>
    <w:rsid w:val="005E3755"/>
    <w:rsid w:val="0069157A"/>
    <w:rsid w:val="006A25B6"/>
    <w:rsid w:val="006D0EE1"/>
    <w:rsid w:val="007106D2"/>
    <w:rsid w:val="0075580B"/>
    <w:rsid w:val="00776C2B"/>
    <w:rsid w:val="00780FA5"/>
    <w:rsid w:val="007C623B"/>
    <w:rsid w:val="007F0431"/>
    <w:rsid w:val="00833413"/>
    <w:rsid w:val="0083657A"/>
    <w:rsid w:val="00894941"/>
    <w:rsid w:val="0093059A"/>
    <w:rsid w:val="00945426"/>
    <w:rsid w:val="00994579"/>
    <w:rsid w:val="009A0BD9"/>
    <w:rsid w:val="009B10E9"/>
    <w:rsid w:val="00A147D6"/>
    <w:rsid w:val="00A6335E"/>
    <w:rsid w:val="00A83E96"/>
    <w:rsid w:val="00AB40CD"/>
    <w:rsid w:val="00AC2D01"/>
    <w:rsid w:val="00AF00D5"/>
    <w:rsid w:val="00B077AC"/>
    <w:rsid w:val="00B373FE"/>
    <w:rsid w:val="00B621BC"/>
    <w:rsid w:val="00B82AFD"/>
    <w:rsid w:val="00B960B5"/>
    <w:rsid w:val="00BA32F8"/>
    <w:rsid w:val="00BC341A"/>
    <w:rsid w:val="00C677B7"/>
    <w:rsid w:val="00CB27F8"/>
    <w:rsid w:val="00D05B40"/>
    <w:rsid w:val="00D93CAA"/>
    <w:rsid w:val="00D9637D"/>
    <w:rsid w:val="00DA5423"/>
    <w:rsid w:val="00DB4D9A"/>
    <w:rsid w:val="00DE6B8A"/>
    <w:rsid w:val="00E03386"/>
    <w:rsid w:val="00E16AF1"/>
    <w:rsid w:val="00E36742"/>
    <w:rsid w:val="00E55D2E"/>
    <w:rsid w:val="00E878E7"/>
    <w:rsid w:val="00E958C2"/>
    <w:rsid w:val="00EA1EEF"/>
    <w:rsid w:val="00F02ADC"/>
    <w:rsid w:val="00FC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65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365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3657A"/>
  </w:style>
  <w:style w:type="character" w:styleId="Hyperlink">
    <w:name w:val="Hyperlink"/>
    <w:rsid w:val="0083657A"/>
    <w:rPr>
      <w:color w:val="0000FF"/>
      <w:u w:val="single"/>
    </w:rPr>
  </w:style>
  <w:style w:type="paragraph" w:styleId="SemEspaamento">
    <w:name w:val="No Spacing"/>
    <w:uiPriority w:val="1"/>
    <w:qFormat/>
    <w:rsid w:val="0083657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8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99457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365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8365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83657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3657A"/>
  </w:style>
  <w:style w:type="character" w:styleId="Hyperlink">
    <w:name w:val="Hyperlink"/>
    <w:rsid w:val="0083657A"/>
    <w:rPr>
      <w:color w:val="0000FF"/>
      <w:u w:val="single"/>
    </w:rPr>
  </w:style>
  <w:style w:type="paragraph" w:styleId="SemEspaamento">
    <w:name w:val="No Spacing"/>
    <w:uiPriority w:val="1"/>
    <w:qFormat/>
    <w:rsid w:val="0083657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20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208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semiHidden/>
    <w:unhideWhenUsed/>
    <w:rsid w:val="009945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Or%C3%A7amento" TargetMode="External"/><Relationship Id="rId13" Type="http://schemas.openxmlformats.org/officeDocument/2006/relationships/hyperlink" Target="https://pt.wikipedia.org/wiki/Judici%C3%A1rio" TargetMode="External"/><Relationship Id="rId18" Type="http://schemas.openxmlformats.org/officeDocument/2006/relationships/hyperlink" Target="https://pt.wikipedia.org/wiki/Plano_Plurianual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pt.wikipedia.org/wiki/Legislativo" TargetMode="External"/><Relationship Id="rId17" Type="http://schemas.openxmlformats.org/officeDocument/2006/relationships/hyperlink" Target="https://pt.wikipedia.org/wiki/Administra%C3%A7%C3%A3o_p%C3%BAbli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t.wikipedia.org/wiki/Lei_Or%C3%A7ament%C3%A1ria_Anua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t.wikipedia.org/wiki/Executiv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t.wikipedia.org/wiki/Autarqui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t.wikipedia.org/wiki/Poder_P%C3%BAblic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Seguridade_social" TargetMode="External"/><Relationship Id="rId14" Type="http://schemas.openxmlformats.org/officeDocument/2006/relationships/hyperlink" Target="https://pt.wikipedia.org/wiki/Empresa_p%C3%BAblic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uina.mt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7</cp:revision>
  <cp:lastPrinted>2023-09-22T16:08:00Z</cp:lastPrinted>
  <dcterms:created xsi:type="dcterms:W3CDTF">2023-09-06T16:43:00Z</dcterms:created>
  <dcterms:modified xsi:type="dcterms:W3CDTF">2023-09-22T16:08:00Z</dcterms:modified>
</cp:coreProperties>
</file>