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02" w:rsidRPr="00574AE7" w:rsidRDefault="00571602" w:rsidP="00571602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571602" w:rsidRPr="006947F1" w:rsidRDefault="00571602" w:rsidP="00571602">
      <w:pPr>
        <w:jc w:val="center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b/>
          <w:sz w:val="24"/>
          <w:szCs w:val="24"/>
          <w:u w:val="single"/>
        </w:rPr>
        <w:t xml:space="preserve">COMISSÃO DE LEGISLAÇÃO, JUSTIÇA E REDAÇÃO </w:t>
      </w:r>
      <w:proofErr w:type="gramStart"/>
      <w:r w:rsidRPr="006947F1">
        <w:rPr>
          <w:rFonts w:asciiTheme="minorHAnsi" w:hAnsiTheme="minorHAnsi"/>
          <w:b/>
          <w:sz w:val="24"/>
          <w:szCs w:val="24"/>
          <w:u w:val="single"/>
        </w:rPr>
        <w:t>FINAL</w:t>
      </w:r>
      <w:proofErr w:type="gramEnd"/>
    </w:p>
    <w:p w:rsidR="00571602" w:rsidRPr="006947F1" w:rsidRDefault="00571602" w:rsidP="00571602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6947F1">
        <w:rPr>
          <w:rFonts w:asciiTheme="minorHAnsi" w:hAnsiTheme="minorHAnsi"/>
          <w:sz w:val="24"/>
          <w:szCs w:val="24"/>
        </w:rPr>
        <w:t xml:space="preserve">               </w:t>
      </w:r>
    </w:p>
    <w:p w:rsidR="00571602" w:rsidRPr="006947F1" w:rsidRDefault="00686295" w:rsidP="00D21F6C">
      <w:pPr>
        <w:ind w:right="50"/>
        <w:rPr>
          <w:rFonts w:asciiTheme="minorHAnsi" w:hAnsiTheme="minorHAnsi"/>
          <w:b/>
          <w:sz w:val="24"/>
          <w:szCs w:val="24"/>
          <w:u w:val="single"/>
        </w:rPr>
      </w:pPr>
      <w:r w:rsidRPr="006947F1">
        <w:rPr>
          <w:rFonts w:asciiTheme="minorHAnsi" w:hAnsiTheme="minorHAnsi"/>
          <w:b/>
          <w:sz w:val="24"/>
          <w:szCs w:val="24"/>
          <w:u w:val="single"/>
        </w:rPr>
        <w:t>PARECER N</w:t>
      </w:r>
      <w:r w:rsidR="00571602" w:rsidRPr="006947F1">
        <w:rPr>
          <w:rFonts w:asciiTheme="minorHAnsi" w:hAnsiTheme="minorHAnsi"/>
          <w:b/>
          <w:sz w:val="24"/>
          <w:szCs w:val="24"/>
          <w:u w:val="single"/>
        </w:rPr>
        <w:t xml:space="preserve">º </w:t>
      </w:r>
      <w:r w:rsidR="00144A6A">
        <w:rPr>
          <w:rFonts w:asciiTheme="minorHAnsi" w:hAnsiTheme="minorHAnsi"/>
          <w:b/>
          <w:sz w:val="24"/>
          <w:szCs w:val="24"/>
          <w:u w:val="single"/>
        </w:rPr>
        <w:t>4</w:t>
      </w:r>
      <w:r w:rsidR="009A2DA7">
        <w:rPr>
          <w:rFonts w:asciiTheme="minorHAnsi" w:hAnsiTheme="minorHAnsi"/>
          <w:b/>
          <w:sz w:val="24"/>
          <w:szCs w:val="24"/>
          <w:u w:val="single"/>
        </w:rPr>
        <w:t>5</w:t>
      </w:r>
      <w:r w:rsidR="00144A6A">
        <w:rPr>
          <w:rFonts w:asciiTheme="minorHAnsi" w:hAnsiTheme="minorHAnsi"/>
          <w:b/>
          <w:sz w:val="24"/>
          <w:szCs w:val="24"/>
          <w:u w:val="single"/>
        </w:rPr>
        <w:t>/</w:t>
      </w:r>
      <w:r w:rsidR="00571602" w:rsidRPr="006947F1">
        <w:rPr>
          <w:rFonts w:asciiTheme="minorHAnsi" w:hAnsiTheme="minorHAnsi"/>
          <w:b/>
          <w:sz w:val="24"/>
          <w:szCs w:val="24"/>
          <w:u w:val="single"/>
        </w:rPr>
        <w:t>CLJRF/2023.</w:t>
      </w:r>
    </w:p>
    <w:p w:rsidR="007206E9" w:rsidRDefault="007206E9" w:rsidP="007206E9">
      <w:pPr>
        <w:ind w:left="4253"/>
        <w:jc w:val="both"/>
        <w:rPr>
          <w:rFonts w:asciiTheme="minorHAnsi" w:hAnsiTheme="minorHAnsi"/>
          <w:b/>
          <w:color w:val="FF0000"/>
          <w:sz w:val="24"/>
          <w:szCs w:val="24"/>
        </w:rPr>
      </w:pPr>
    </w:p>
    <w:p w:rsidR="007206E9" w:rsidRPr="007206E9" w:rsidRDefault="007206E9" w:rsidP="007206E9">
      <w:pPr>
        <w:ind w:left="4253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7206E9">
        <w:rPr>
          <w:rFonts w:asciiTheme="minorHAnsi" w:hAnsiTheme="minorHAnsi"/>
          <w:b/>
          <w:color w:val="FF0000"/>
          <w:sz w:val="24"/>
          <w:szCs w:val="24"/>
        </w:rPr>
        <w:t>Projeto de lei nº 3</w:t>
      </w:r>
      <w:r w:rsidR="009A2DA7">
        <w:rPr>
          <w:rFonts w:asciiTheme="minorHAnsi" w:hAnsiTheme="minorHAnsi"/>
          <w:b/>
          <w:color w:val="FF0000"/>
          <w:sz w:val="24"/>
          <w:szCs w:val="24"/>
        </w:rPr>
        <w:t>2</w:t>
      </w:r>
      <w:r w:rsidRPr="007206E9">
        <w:rPr>
          <w:rFonts w:asciiTheme="minorHAnsi" w:hAnsiTheme="minorHAnsi"/>
          <w:b/>
          <w:color w:val="FF0000"/>
          <w:sz w:val="24"/>
          <w:szCs w:val="24"/>
        </w:rPr>
        <w:t>/2023 autoria: Poder Executivo Municip</w:t>
      </w:r>
      <w:r w:rsidR="009A2DA7">
        <w:rPr>
          <w:rFonts w:asciiTheme="minorHAnsi" w:hAnsiTheme="minorHAnsi"/>
          <w:b/>
          <w:color w:val="FF0000"/>
          <w:sz w:val="24"/>
          <w:szCs w:val="24"/>
        </w:rPr>
        <w:t>al.</w:t>
      </w:r>
    </w:p>
    <w:p w:rsidR="007206E9" w:rsidRDefault="009A2DA7" w:rsidP="007206E9">
      <w:pPr>
        <w:ind w:left="4253"/>
        <w:jc w:val="both"/>
        <w:rPr>
          <w:rFonts w:asciiTheme="minorHAnsi" w:hAnsiTheme="minorHAnsi"/>
          <w:color w:val="FF0000"/>
          <w:sz w:val="24"/>
          <w:szCs w:val="24"/>
        </w:rPr>
      </w:pPr>
      <w:r w:rsidRPr="009A2DA7">
        <w:rPr>
          <w:rFonts w:asciiTheme="minorHAnsi" w:hAnsiTheme="minorHAnsi"/>
          <w:color w:val="FF0000"/>
          <w:sz w:val="24"/>
          <w:szCs w:val="24"/>
        </w:rPr>
        <w:t>Dispõe sobre a autorização para promover abertura de crédito adicional suplementar no orçamento vigente, e dá outras providências.</w:t>
      </w:r>
    </w:p>
    <w:p w:rsidR="009A2DA7" w:rsidRPr="00ED523D" w:rsidRDefault="009A2DA7" w:rsidP="007206E9">
      <w:pPr>
        <w:ind w:left="4253"/>
        <w:jc w:val="both"/>
        <w:rPr>
          <w:rFonts w:asciiTheme="minorHAnsi" w:eastAsia="Batang" w:hAnsiTheme="minorHAnsi" w:cstheme="minorBidi"/>
          <w:color w:val="FF0000"/>
          <w:sz w:val="24"/>
          <w:szCs w:val="24"/>
          <w:lang w:eastAsia="en-US"/>
        </w:rPr>
      </w:pPr>
    </w:p>
    <w:p w:rsidR="009F639F" w:rsidRPr="006947F1" w:rsidRDefault="009F639F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A matéria protocolada nesta Casa de Leis em</w:t>
      </w:r>
      <w:r w:rsidR="00595B61" w:rsidRPr="006947F1">
        <w:rPr>
          <w:rFonts w:asciiTheme="minorHAnsi" w:hAnsiTheme="minorHAnsi"/>
          <w:sz w:val="24"/>
          <w:szCs w:val="24"/>
        </w:rPr>
        <w:t xml:space="preserve"> </w:t>
      </w:r>
      <w:r w:rsidR="009A2DA7">
        <w:rPr>
          <w:rFonts w:asciiTheme="minorHAnsi" w:hAnsiTheme="minorHAnsi"/>
          <w:sz w:val="24"/>
          <w:szCs w:val="24"/>
        </w:rPr>
        <w:t>22 de setembro</w:t>
      </w:r>
      <w:r w:rsidR="00902874" w:rsidRPr="006947F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02874" w:rsidRPr="006947F1">
        <w:rPr>
          <w:rFonts w:asciiTheme="minorHAnsi" w:hAnsiTheme="minorHAnsi"/>
          <w:sz w:val="24"/>
          <w:szCs w:val="24"/>
        </w:rPr>
        <w:t>de</w:t>
      </w:r>
      <w:proofErr w:type="spellEnd"/>
      <w:r w:rsidRPr="006947F1">
        <w:rPr>
          <w:rFonts w:asciiTheme="minorHAnsi" w:hAnsiTheme="minorHAnsi"/>
          <w:sz w:val="24"/>
          <w:szCs w:val="24"/>
        </w:rPr>
        <w:t xml:space="preserve"> 2023</w:t>
      </w:r>
      <w:r w:rsidR="009A2DA7">
        <w:rPr>
          <w:rFonts w:asciiTheme="minorHAnsi" w:hAnsiTheme="minorHAnsi"/>
          <w:sz w:val="24"/>
          <w:szCs w:val="24"/>
        </w:rPr>
        <w:t xml:space="preserve"> tramita em REGIME ORDINÁRIO</w:t>
      </w:r>
      <w:r w:rsidR="007206E9">
        <w:rPr>
          <w:rFonts w:asciiTheme="minorHAnsi" w:hAnsiTheme="minorHAnsi"/>
          <w:sz w:val="24"/>
          <w:szCs w:val="24"/>
        </w:rPr>
        <w:t xml:space="preserve">, foi encaminhada a esta Comissão no mesmo dia para analise e parecer e será inclusa para leitura, discussão e votação </w:t>
      </w:r>
      <w:proofErr w:type="gramStart"/>
      <w:r w:rsidR="009A2DA7">
        <w:rPr>
          <w:rFonts w:asciiTheme="minorHAnsi" w:hAnsiTheme="minorHAnsi"/>
          <w:sz w:val="24"/>
          <w:szCs w:val="24"/>
        </w:rPr>
        <w:t>2</w:t>
      </w:r>
      <w:proofErr w:type="gramEnd"/>
      <w:r w:rsidR="009A2DA7">
        <w:rPr>
          <w:rFonts w:asciiTheme="minorHAnsi" w:hAnsiTheme="minorHAnsi"/>
          <w:sz w:val="24"/>
          <w:szCs w:val="24"/>
        </w:rPr>
        <w:t xml:space="preserve"> de outubro de 2023</w:t>
      </w:r>
      <w:r w:rsidR="007206E9">
        <w:rPr>
          <w:rFonts w:asciiTheme="minorHAnsi" w:hAnsiTheme="minorHAnsi"/>
          <w:sz w:val="24"/>
          <w:szCs w:val="24"/>
        </w:rPr>
        <w:t>. E</w:t>
      </w:r>
      <w:r w:rsidR="000F7A19" w:rsidRPr="006947F1">
        <w:rPr>
          <w:rFonts w:asciiTheme="minorHAnsi" w:hAnsiTheme="minorHAnsi"/>
          <w:sz w:val="24"/>
          <w:szCs w:val="24"/>
        </w:rPr>
        <w:t>ncontra-se</w:t>
      </w:r>
      <w:r w:rsidRPr="006947F1">
        <w:rPr>
          <w:rFonts w:asciiTheme="minorHAnsi" w:hAnsiTheme="minorHAnsi"/>
          <w:sz w:val="24"/>
          <w:szCs w:val="24"/>
        </w:rPr>
        <w:t xml:space="preserve"> em conformidade com dispositivos regimentais que disciplina sua tramitação, estando, portando, sob a responsabilidade desta Relatoria para análise e parecer sobre sua legalidade e constitucionalidade, nos termos do artigo 51, I do Regimento Interno.</w:t>
      </w:r>
    </w:p>
    <w:p w:rsidR="009F639F" w:rsidRPr="006947F1" w:rsidRDefault="009F639F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Diante do Exposto, a matéria amparada na legalidade, em conformidade com as normas constitucionais, jurídicas e técnicas Legislativas, voto pelo </w:t>
      </w:r>
      <w:r w:rsidRPr="006947F1">
        <w:rPr>
          <w:rFonts w:asciiTheme="minorHAnsi" w:hAnsiTheme="minorHAnsi"/>
          <w:b/>
          <w:sz w:val="24"/>
          <w:szCs w:val="24"/>
        </w:rPr>
        <w:t>PARECER FAVORÁVEL</w:t>
      </w:r>
      <w:r w:rsidRPr="006947F1">
        <w:rPr>
          <w:rFonts w:asciiTheme="minorHAnsi" w:hAnsiTheme="minorHAnsi"/>
          <w:sz w:val="24"/>
          <w:szCs w:val="24"/>
        </w:rPr>
        <w:t xml:space="preserve"> e pela submissão ao Plenário para apreciação e votação.</w:t>
      </w:r>
    </w:p>
    <w:p w:rsidR="009F639F" w:rsidRPr="006947F1" w:rsidRDefault="009F639F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Este é o relatório.</w:t>
      </w:r>
    </w:p>
    <w:p w:rsidR="00571602" w:rsidRPr="006947F1" w:rsidRDefault="00571602" w:rsidP="00A64692">
      <w:pPr>
        <w:spacing w:after="120"/>
        <w:ind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Sala das Comissões, </w:t>
      </w:r>
      <w:proofErr w:type="gramStart"/>
      <w:r w:rsidR="009A2DA7">
        <w:rPr>
          <w:rFonts w:asciiTheme="minorHAnsi" w:hAnsiTheme="minorHAnsi"/>
          <w:color w:val="FF0000"/>
          <w:sz w:val="24"/>
          <w:szCs w:val="24"/>
        </w:rPr>
        <w:t>2</w:t>
      </w:r>
      <w:proofErr w:type="gramEnd"/>
      <w:r w:rsidR="009A2DA7">
        <w:rPr>
          <w:rFonts w:asciiTheme="minorHAnsi" w:hAnsiTheme="minorHAnsi"/>
          <w:color w:val="FF0000"/>
          <w:sz w:val="24"/>
          <w:szCs w:val="24"/>
        </w:rPr>
        <w:t xml:space="preserve"> de outubro de 2023.</w:t>
      </w:r>
    </w:p>
    <w:p w:rsidR="00571602" w:rsidRPr="006947F1" w:rsidRDefault="00571602" w:rsidP="00571602">
      <w:pPr>
        <w:spacing w:after="120"/>
        <w:ind w:firstLine="709"/>
        <w:jc w:val="both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both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both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AELCIO MOREIRA DE OLIVEIRA</w:t>
      </w: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Relator</w:t>
      </w: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097AD6" w:rsidRDefault="00097AD6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097AD6" w:rsidRDefault="00097AD6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144A6A" w:rsidRDefault="00144A6A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144A6A" w:rsidRDefault="00144A6A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9A6099" w:rsidRDefault="009A6099" w:rsidP="00097AD6">
      <w:pPr>
        <w:ind w:right="50"/>
        <w:rPr>
          <w:rFonts w:asciiTheme="minorHAnsi" w:hAnsiTheme="minorHAnsi"/>
          <w:sz w:val="24"/>
          <w:szCs w:val="24"/>
        </w:rPr>
      </w:pPr>
    </w:p>
    <w:p w:rsidR="009A6099" w:rsidRDefault="009A6099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Default="00571602" w:rsidP="0057160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6947F1">
        <w:rPr>
          <w:rFonts w:asciiTheme="minorHAnsi" w:hAnsiTheme="minorHAnsi"/>
          <w:b/>
          <w:sz w:val="24"/>
          <w:szCs w:val="24"/>
          <w:u w:val="single"/>
        </w:rPr>
        <w:lastRenderedPageBreak/>
        <w:t xml:space="preserve">PARECER n.º </w:t>
      </w:r>
      <w:r w:rsidR="00097AD6">
        <w:rPr>
          <w:rFonts w:asciiTheme="minorHAnsi" w:hAnsiTheme="minorHAnsi"/>
          <w:b/>
          <w:sz w:val="24"/>
          <w:szCs w:val="24"/>
          <w:u w:val="single"/>
        </w:rPr>
        <w:t>4</w:t>
      </w:r>
      <w:r w:rsidR="009A2DA7">
        <w:rPr>
          <w:rFonts w:asciiTheme="minorHAnsi" w:hAnsiTheme="minorHAnsi"/>
          <w:b/>
          <w:sz w:val="24"/>
          <w:szCs w:val="24"/>
          <w:u w:val="single"/>
        </w:rPr>
        <w:t>5</w:t>
      </w:r>
      <w:r w:rsidRPr="006947F1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/2023 </w:t>
      </w:r>
      <w:r w:rsidRPr="006947F1">
        <w:rPr>
          <w:rFonts w:asciiTheme="minorHAnsi" w:hAnsiTheme="minorHAnsi"/>
          <w:b/>
          <w:color w:val="000000"/>
          <w:sz w:val="24"/>
          <w:szCs w:val="24"/>
          <w:u w:val="single"/>
        </w:rPr>
        <w:t xml:space="preserve">ao </w:t>
      </w:r>
      <w:r w:rsidRPr="00893D26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Projeto de </w:t>
      </w:r>
      <w:r w:rsidR="007206E9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Lei </w:t>
      </w:r>
      <w:r w:rsidR="009A2DA7">
        <w:rPr>
          <w:rFonts w:asciiTheme="minorHAnsi" w:hAnsiTheme="minorHAnsi"/>
          <w:b/>
          <w:color w:val="FF0000"/>
          <w:sz w:val="24"/>
          <w:szCs w:val="24"/>
          <w:u w:val="single"/>
        </w:rPr>
        <w:t>32</w:t>
      </w:r>
      <w:r w:rsidR="007206E9">
        <w:rPr>
          <w:rFonts w:asciiTheme="minorHAnsi" w:hAnsiTheme="minorHAnsi"/>
          <w:b/>
          <w:color w:val="FF0000"/>
          <w:sz w:val="24"/>
          <w:szCs w:val="24"/>
          <w:u w:val="single"/>
        </w:rPr>
        <w:t>/2023</w:t>
      </w:r>
    </w:p>
    <w:p w:rsidR="00ED523D" w:rsidRDefault="00ED523D" w:rsidP="0057160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ED523D" w:rsidRPr="006947F1" w:rsidRDefault="00ED523D" w:rsidP="00571602">
      <w:pPr>
        <w:ind w:right="5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571602" w:rsidRPr="006947F1" w:rsidRDefault="00571602" w:rsidP="00902874">
      <w:pPr>
        <w:spacing w:after="120"/>
        <w:ind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A Comissão, em reunião, acompanha o voto do relator da </w:t>
      </w:r>
      <w:r w:rsidRPr="006947F1">
        <w:rPr>
          <w:rFonts w:asciiTheme="minorHAnsi" w:hAnsiTheme="minorHAnsi"/>
          <w:color w:val="FF0000"/>
          <w:sz w:val="24"/>
          <w:szCs w:val="24"/>
        </w:rPr>
        <w:t>matéria</w:t>
      </w:r>
      <w:r w:rsidRPr="006947F1">
        <w:rPr>
          <w:rFonts w:asciiTheme="minorHAnsi" w:hAnsiTheme="minorHAnsi"/>
          <w:sz w:val="24"/>
          <w:szCs w:val="24"/>
        </w:rPr>
        <w:t xml:space="preserve"> opinando unicamente pela constitucionalidade, e, no mérito, </w:t>
      </w:r>
      <w:r w:rsidRPr="006947F1">
        <w:rPr>
          <w:rFonts w:asciiTheme="minorHAnsi" w:hAnsiTheme="minorHAnsi"/>
          <w:color w:val="FF0000"/>
          <w:sz w:val="24"/>
          <w:szCs w:val="24"/>
        </w:rPr>
        <w:t>pela aprovação da tramitação</w:t>
      </w:r>
      <w:r w:rsidRPr="006947F1">
        <w:rPr>
          <w:rFonts w:asciiTheme="minorHAnsi" w:hAnsiTheme="minorHAnsi"/>
          <w:sz w:val="24"/>
          <w:szCs w:val="24"/>
        </w:rPr>
        <w:t xml:space="preserve"> do proposto, apresentando </w:t>
      </w:r>
      <w:r w:rsidRPr="006947F1">
        <w:rPr>
          <w:rFonts w:asciiTheme="minorHAnsi" w:hAnsiTheme="minorHAnsi"/>
          <w:b/>
          <w:sz w:val="24"/>
          <w:szCs w:val="24"/>
          <w:u w:val="single"/>
        </w:rPr>
        <w:t>PARECER FAVORAVEL</w:t>
      </w:r>
      <w:r w:rsidRPr="006947F1">
        <w:rPr>
          <w:rFonts w:asciiTheme="minorHAnsi" w:hAnsiTheme="minorHAnsi"/>
          <w:sz w:val="24"/>
          <w:szCs w:val="24"/>
        </w:rPr>
        <w:t>, ficando assim, melhor dec</w:t>
      </w:r>
      <w:bookmarkStart w:id="0" w:name="_GoBack"/>
      <w:bookmarkEnd w:id="0"/>
      <w:r w:rsidRPr="006947F1">
        <w:rPr>
          <w:rFonts w:asciiTheme="minorHAnsi" w:hAnsiTheme="minorHAnsi"/>
          <w:sz w:val="24"/>
          <w:szCs w:val="24"/>
        </w:rPr>
        <w:t>isão do Douto Plenário da Casa.</w:t>
      </w:r>
    </w:p>
    <w:p w:rsidR="00571602" w:rsidRPr="006947F1" w:rsidRDefault="00571602" w:rsidP="00902874">
      <w:pPr>
        <w:spacing w:after="120"/>
        <w:ind w:right="50" w:firstLine="1134"/>
        <w:jc w:val="both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>Este é o parecer, salvo melhor juízo.</w:t>
      </w:r>
    </w:p>
    <w:p w:rsidR="00571602" w:rsidRPr="006947F1" w:rsidRDefault="00571602" w:rsidP="00902874">
      <w:pPr>
        <w:spacing w:after="120"/>
        <w:ind w:right="50" w:firstLine="1134"/>
        <w:rPr>
          <w:rFonts w:asciiTheme="minorHAnsi" w:hAnsiTheme="minorHAnsi"/>
          <w:color w:val="FF0000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 xml:space="preserve">Sala das Comissões, </w:t>
      </w:r>
      <w:proofErr w:type="gramStart"/>
      <w:r w:rsidR="009A2DA7">
        <w:rPr>
          <w:rFonts w:asciiTheme="minorHAnsi" w:hAnsiTheme="minorHAnsi"/>
          <w:color w:val="FF0000"/>
          <w:sz w:val="24"/>
          <w:szCs w:val="24"/>
        </w:rPr>
        <w:t>2</w:t>
      </w:r>
      <w:proofErr w:type="gramEnd"/>
      <w:r w:rsidR="009A2DA7">
        <w:rPr>
          <w:rFonts w:asciiTheme="minorHAnsi" w:hAnsiTheme="minorHAnsi"/>
          <w:color w:val="FF0000"/>
          <w:sz w:val="24"/>
          <w:szCs w:val="24"/>
        </w:rPr>
        <w:t xml:space="preserve"> de outubro de 2023.</w:t>
      </w:r>
    </w:p>
    <w:p w:rsidR="009F639F" w:rsidRPr="006947F1" w:rsidRDefault="009F639F" w:rsidP="00902874">
      <w:pPr>
        <w:spacing w:after="120"/>
        <w:ind w:right="50" w:firstLine="1134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902874">
      <w:pPr>
        <w:keepNext/>
        <w:tabs>
          <w:tab w:val="left" w:pos="-142"/>
        </w:tabs>
        <w:ind w:firstLine="1134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902874">
      <w:pPr>
        <w:keepNext/>
        <w:tabs>
          <w:tab w:val="left" w:pos="-142"/>
        </w:tabs>
        <w:ind w:firstLine="1134"/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9A2DA7" w:rsidP="00902874">
      <w:pPr>
        <w:ind w:left="708" w:right="50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ALMIR DE OLIVEIRA BATISTA</w:t>
      </w:r>
      <w:r w:rsidR="006947F1" w:rsidRPr="006947F1">
        <w:rPr>
          <w:rFonts w:asciiTheme="minorHAnsi" w:hAnsiTheme="minorHAnsi"/>
          <w:sz w:val="24"/>
          <w:szCs w:val="24"/>
        </w:rPr>
        <w:tab/>
      </w:r>
      <w:proofErr w:type="gramStart"/>
      <w:r w:rsidR="00571602" w:rsidRPr="006947F1">
        <w:rPr>
          <w:rFonts w:asciiTheme="minorHAnsi" w:hAnsiTheme="minorHAnsi"/>
          <w:sz w:val="24"/>
          <w:szCs w:val="24"/>
        </w:rPr>
        <w:t xml:space="preserve">    </w:t>
      </w:r>
      <w:proofErr w:type="gramEnd"/>
      <w:r w:rsidR="00571602" w:rsidRPr="006947F1">
        <w:rPr>
          <w:rFonts w:asciiTheme="minorHAnsi" w:hAnsiTheme="minorHAnsi"/>
          <w:sz w:val="24"/>
          <w:szCs w:val="24"/>
        </w:rPr>
        <w:tab/>
      </w:r>
      <w:r w:rsidR="00902874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>AILTON BARBOSA DE OLIVEIRA</w:t>
      </w:r>
    </w:p>
    <w:p w:rsidR="00571602" w:rsidRPr="006947F1" w:rsidRDefault="00902874" w:rsidP="00902874">
      <w:pPr>
        <w:tabs>
          <w:tab w:val="left" w:pos="0"/>
        </w:tabs>
        <w:ind w:right="50"/>
        <w:rPr>
          <w:rFonts w:asciiTheme="minorHAnsi" w:hAnsiTheme="minorHAnsi"/>
          <w:sz w:val="24"/>
          <w:szCs w:val="24"/>
        </w:rPr>
      </w:pPr>
      <w:r w:rsidRPr="006947F1">
        <w:rPr>
          <w:rFonts w:asciiTheme="minorHAnsi" w:hAnsiTheme="minorHAnsi"/>
          <w:sz w:val="24"/>
          <w:szCs w:val="24"/>
        </w:rPr>
        <w:tab/>
      </w:r>
      <w:r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>Presidente</w:t>
      </w:r>
      <w:r w:rsidR="006947F1" w:rsidRPr="006947F1">
        <w:rPr>
          <w:rFonts w:asciiTheme="minorHAnsi" w:hAnsiTheme="minorHAnsi"/>
          <w:sz w:val="24"/>
          <w:szCs w:val="24"/>
        </w:rPr>
        <w:tab/>
      </w:r>
      <w:r w:rsidR="006947F1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ab/>
        <w:t xml:space="preserve"> </w:t>
      </w:r>
      <w:r w:rsidR="00571602" w:rsidRPr="006947F1">
        <w:rPr>
          <w:rFonts w:asciiTheme="minorHAnsi" w:hAnsiTheme="minorHAnsi"/>
          <w:sz w:val="24"/>
          <w:szCs w:val="24"/>
        </w:rPr>
        <w:tab/>
      </w:r>
      <w:r w:rsidR="00571602" w:rsidRPr="006947F1">
        <w:rPr>
          <w:rFonts w:asciiTheme="minorHAnsi" w:hAnsiTheme="minorHAnsi"/>
          <w:sz w:val="24"/>
          <w:szCs w:val="24"/>
        </w:rPr>
        <w:tab/>
        <w:t>membro</w:t>
      </w: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right="50"/>
        <w:jc w:val="center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keepNext/>
        <w:tabs>
          <w:tab w:val="left" w:pos="-142"/>
        </w:tabs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keepNext/>
        <w:tabs>
          <w:tab w:val="left" w:pos="-142"/>
        </w:tabs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keepNext/>
        <w:tabs>
          <w:tab w:val="left" w:pos="-142"/>
        </w:tabs>
        <w:jc w:val="center"/>
        <w:outlineLvl w:val="2"/>
        <w:rPr>
          <w:rFonts w:asciiTheme="minorHAnsi" w:hAnsiTheme="minorHAnsi"/>
          <w:sz w:val="24"/>
          <w:szCs w:val="24"/>
        </w:rPr>
      </w:pPr>
    </w:p>
    <w:p w:rsidR="00571602" w:rsidRPr="006947F1" w:rsidRDefault="00571602" w:rsidP="00571602">
      <w:pPr>
        <w:ind w:left="3686" w:right="50"/>
        <w:jc w:val="both"/>
        <w:rPr>
          <w:rFonts w:asciiTheme="minorHAnsi" w:hAnsiTheme="minorHAnsi"/>
          <w:b/>
          <w:sz w:val="24"/>
          <w:szCs w:val="24"/>
        </w:rPr>
      </w:pPr>
    </w:p>
    <w:p w:rsidR="00896443" w:rsidRPr="006947F1" w:rsidRDefault="00896443">
      <w:pPr>
        <w:rPr>
          <w:rFonts w:asciiTheme="minorHAnsi" w:hAnsiTheme="minorHAnsi"/>
          <w:sz w:val="24"/>
          <w:szCs w:val="24"/>
        </w:rPr>
      </w:pPr>
    </w:p>
    <w:sectPr w:rsidR="00896443" w:rsidRPr="006947F1" w:rsidSect="00896443">
      <w:headerReference w:type="default" r:id="rId8"/>
      <w:footerReference w:type="even" r:id="rId9"/>
      <w:footerReference w:type="default" r:id="rId10"/>
      <w:pgSz w:w="11907" w:h="16839" w:code="9"/>
      <w:pgMar w:top="3544" w:right="850" w:bottom="993" w:left="1701" w:header="851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43" w:rsidRDefault="00896443" w:rsidP="00571602">
      <w:r>
        <w:separator/>
      </w:r>
    </w:p>
  </w:endnote>
  <w:endnote w:type="continuationSeparator" w:id="0">
    <w:p w:rsidR="00896443" w:rsidRDefault="00896443" w:rsidP="005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43" w:rsidRDefault="008964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6443" w:rsidRDefault="0089644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43" w:rsidRDefault="00896443">
    <w:pPr>
      <w:pStyle w:val="Rodap"/>
      <w:jc w:val="center"/>
    </w:pPr>
  </w:p>
  <w:p w:rsidR="00896443" w:rsidRPr="00C3268E" w:rsidRDefault="00896443" w:rsidP="00896443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25012A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25012A">
      <w:rPr>
        <w:b/>
        <w:bCs/>
        <w:noProof/>
        <w:sz w:val="16"/>
      </w:rPr>
      <w:t>2</w:t>
    </w:r>
    <w:r w:rsidRPr="00C3268E">
      <w:rPr>
        <w:b/>
        <w:bCs/>
        <w:szCs w:val="24"/>
      </w:rPr>
      <w:fldChar w:fldCharType="end"/>
    </w:r>
  </w:p>
  <w:p w:rsidR="00896443" w:rsidRDefault="00896443" w:rsidP="00896443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43" w:rsidRDefault="00896443" w:rsidP="00571602">
      <w:r>
        <w:separator/>
      </w:r>
    </w:p>
  </w:footnote>
  <w:footnote w:type="continuationSeparator" w:id="0">
    <w:p w:rsidR="00896443" w:rsidRDefault="00896443" w:rsidP="005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443" w:rsidRDefault="0025012A" w:rsidP="00896443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7747620" r:id="rId2"/>
      </w:pict>
    </w:r>
    <w:r w:rsidR="00896443">
      <w:rPr>
        <w:rFonts w:ascii="Arial" w:hAnsi="Arial"/>
        <w:snapToGrid w:val="0"/>
        <w:color w:val="000000"/>
        <w:sz w:val="40"/>
      </w:rPr>
      <w:t xml:space="preserve">              </w:t>
    </w: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896443" w:rsidRPr="00725D5F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 xml:space="preserve">Comissão de Legislação, Justiça e Redação </w:t>
    </w:r>
    <w:proofErr w:type="gramStart"/>
    <w:r>
      <w:rPr>
        <w:rFonts w:ascii="Calibri" w:hAnsi="Calibri"/>
        <w:snapToGrid w:val="0"/>
        <w:color w:val="000000"/>
        <w:sz w:val="24"/>
        <w:szCs w:val="24"/>
      </w:rPr>
      <w:t>Final</w:t>
    </w:r>
    <w:proofErr w:type="gramEnd"/>
  </w:p>
  <w:p w:rsidR="00896443" w:rsidRPr="00725D5F" w:rsidRDefault="00896443" w:rsidP="00896443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896443" w:rsidRPr="00E64D93" w:rsidRDefault="00896443" w:rsidP="00896443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2"/>
        <w:szCs w:val="24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571602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571602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 assessorialegislativa@juina.mt.leg.br</w:t>
    </w:r>
  </w:p>
  <w:p w:rsidR="00896443" w:rsidRDefault="00896443" w:rsidP="00896443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02"/>
    <w:rsid w:val="0006797C"/>
    <w:rsid w:val="00097AD6"/>
    <w:rsid w:val="000F4A91"/>
    <w:rsid w:val="000F7A19"/>
    <w:rsid w:val="001362A3"/>
    <w:rsid w:val="001417A9"/>
    <w:rsid w:val="00144A6A"/>
    <w:rsid w:val="001B3C4D"/>
    <w:rsid w:val="00204FCA"/>
    <w:rsid w:val="002219AB"/>
    <w:rsid w:val="0025012A"/>
    <w:rsid w:val="002611C3"/>
    <w:rsid w:val="00267E1C"/>
    <w:rsid w:val="002A1EC7"/>
    <w:rsid w:val="002A776E"/>
    <w:rsid w:val="002E078C"/>
    <w:rsid w:val="00346EE1"/>
    <w:rsid w:val="003F07FF"/>
    <w:rsid w:val="003F60E6"/>
    <w:rsid w:val="004051EF"/>
    <w:rsid w:val="004067DE"/>
    <w:rsid w:val="00407B14"/>
    <w:rsid w:val="004323B0"/>
    <w:rsid w:val="0044178B"/>
    <w:rsid w:val="004766D5"/>
    <w:rsid w:val="004773D8"/>
    <w:rsid w:val="00482981"/>
    <w:rsid w:val="00485C31"/>
    <w:rsid w:val="004D77A9"/>
    <w:rsid w:val="004E78A2"/>
    <w:rsid w:val="00536119"/>
    <w:rsid w:val="00571602"/>
    <w:rsid w:val="00574BF9"/>
    <w:rsid w:val="00584804"/>
    <w:rsid w:val="005906E0"/>
    <w:rsid w:val="00595B61"/>
    <w:rsid w:val="005973DD"/>
    <w:rsid w:val="005B4570"/>
    <w:rsid w:val="005B4A92"/>
    <w:rsid w:val="005E3A67"/>
    <w:rsid w:val="00643489"/>
    <w:rsid w:val="006815C5"/>
    <w:rsid w:val="00686295"/>
    <w:rsid w:val="006947F1"/>
    <w:rsid w:val="006A330D"/>
    <w:rsid w:val="006C7FA0"/>
    <w:rsid w:val="006E01F6"/>
    <w:rsid w:val="006E2576"/>
    <w:rsid w:val="007206E9"/>
    <w:rsid w:val="0074729B"/>
    <w:rsid w:val="007C1C59"/>
    <w:rsid w:val="007D6890"/>
    <w:rsid w:val="00826890"/>
    <w:rsid w:val="0085654A"/>
    <w:rsid w:val="0088795F"/>
    <w:rsid w:val="00893D26"/>
    <w:rsid w:val="00896443"/>
    <w:rsid w:val="008B1850"/>
    <w:rsid w:val="008B6967"/>
    <w:rsid w:val="00902874"/>
    <w:rsid w:val="00904B87"/>
    <w:rsid w:val="00904D2B"/>
    <w:rsid w:val="00945426"/>
    <w:rsid w:val="009A15C6"/>
    <w:rsid w:val="009A2DA7"/>
    <w:rsid w:val="009A6099"/>
    <w:rsid w:val="009B7A14"/>
    <w:rsid w:val="009C238A"/>
    <w:rsid w:val="009D284D"/>
    <w:rsid w:val="009F1B6D"/>
    <w:rsid w:val="009F639F"/>
    <w:rsid w:val="00A14637"/>
    <w:rsid w:val="00A372A5"/>
    <w:rsid w:val="00A64692"/>
    <w:rsid w:val="00AA5C80"/>
    <w:rsid w:val="00AB5B42"/>
    <w:rsid w:val="00AD156B"/>
    <w:rsid w:val="00AD3194"/>
    <w:rsid w:val="00B11EA3"/>
    <w:rsid w:val="00B16174"/>
    <w:rsid w:val="00BA1667"/>
    <w:rsid w:val="00BB4B0E"/>
    <w:rsid w:val="00BC58E6"/>
    <w:rsid w:val="00C25239"/>
    <w:rsid w:val="00C432AA"/>
    <w:rsid w:val="00C5640D"/>
    <w:rsid w:val="00C62C40"/>
    <w:rsid w:val="00CA177E"/>
    <w:rsid w:val="00CD200E"/>
    <w:rsid w:val="00CE7B37"/>
    <w:rsid w:val="00CF54EA"/>
    <w:rsid w:val="00D13779"/>
    <w:rsid w:val="00D21F6C"/>
    <w:rsid w:val="00D41CF1"/>
    <w:rsid w:val="00D528BD"/>
    <w:rsid w:val="00D62ACE"/>
    <w:rsid w:val="00D77875"/>
    <w:rsid w:val="00D871A1"/>
    <w:rsid w:val="00DD2E92"/>
    <w:rsid w:val="00DD42A9"/>
    <w:rsid w:val="00DE2AB9"/>
    <w:rsid w:val="00DE4A6C"/>
    <w:rsid w:val="00E01660"/>
    <w:rsid w:val="00E12245"/>
    <w:rsid w:val="00E740A6"/>
    <w:rsid w:val="00E923DB"/>
    <w:rsid w:val="00EC2EFC"/>
    <w:rsid w:val="00ED1B0E"/>
    <w:rsid w:val="00ED523D"/>
    <w:rsid w:val="00ED7C9F"/>
    <w:rsid w:val="00F86564"/>
    <w:rsid w:val="00FC30AE"/>
    <w:rsid w:val="00FC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16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716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71602"/>
  </w:style>
  <w:style w:type="character" w:styleId="Hyperlink">
    <w:name w:val="Hyperlink"/>
    <w:rsid w:val="005716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C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CF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160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57160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57160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571602"/>
  </w:style>
  <w:style w:type="character" w:styleId="Hyperlink">
    <w:name w:val="Hyperlink"/>
    <w:rsid w:val="005716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C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C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1C63181-28EF-460E-9260-B7E9ECF8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5</cp:revision>
  <cp:lastPrinted>2023-10-02T14:26:00Z</cp:lastPrinted>
  <dcterms:created xsi:type="dcterms:W3CDTF">2023-10-02T14:24:00Z</dcterms:created>
  <dcterms:modified xsi:type="dcterms:W3CDTF">2023-10-02T14:26:00Z</dcterms:modified>
</cp:coreProperties>
</file>